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C23A" w14:textId="388F9CEE" w:rsidR="00513A7B" w:rsidRDefault="001A02FC" w:rsidP="001A02FC">
      <w:pPr>
        <w:pStyle w:val="Title"/>
        <w:jc w:val="center"/>
        <w:rPr>
          <w:b/>
          <w:bCs/>
          <w:u w:val="single"/>
        </w:rPr>
      </w:pPr>
      <w:r w:rsidRPr="001A02FC">
        <w:rPr>
          <w:b/>
          <w:bCs/>
          <w:u w:val="single"/>
        </w:rPr>
        <w:t>PTO Accrual Schedules</w:t>
      </w:r>
    </w:p>
    <w:p w14:paraId="7884189F" w14:textId="7EB17482" w:rsidR="001A02FC" w:rsidRDefault="001A02FC" w:rsidP="001A02FC"/>
    <w:p w14:paraId="78CF9D07" w14:textId="0333D606" w:rsidR="001A02FC" w:rsidRPr="008B0BEC" w:rsidRDefault="001A02FC" w:rsidP="008B0BEC">
      <w:pPr>
        <w:pStyle w:val="Heading1"/>
      </w:pPr>
      <w:r w:rsidRPr="008B0BEC">
        <w:t xml:space="preserve">Hourly Schedule: </w:t>
      </w:r>
    </w:p>
    <w:tbl>
      <w:tblPr>
        <w:tblStyle w:val="TableGrid"/>
        <w:tblW w:w="4303" w:type="pct"/>
        <w:tblLook w:val="04A0" w:firstRow="1" w:lastRow="0" w:firstColumn="1" w:lastColumn="0" w:noHBand="0" w:noVBand="1"/>
      </w:tblPr>
      <w:tblGrid>
        <w:gridCol w:w="2011"/>
        <w:gridCol w:w="2012"/>
        <w:gridCol w:w="2012"/>
        <w:gridCol w:w="2012"/>
      </w:tblGrid>
      <w:tr w:rsidR="001A02FC" w14:paraId="173BB70C" w14:textId="77777777" w:rsidTr="009D4E03">
        <w:trPr>
          <w:trHeight w:val="265"/>
        </w:trPr>
        <w:tc>
          <w:tcPr>
            <w:tcW w:w="1250" w:type="pct"/>
          </w:tcPr>
          <w:p w14:paraId="618091E8" w14:textId="77777777" w:rsidR="001A02FC" w:rsidRDefault="001A02FC" w:rsidP="00F221E7">
            <w:pPr>
              <w:rPr>
                <w:b/>
              </w:rPr>
            </w:pPr>
            <w:r>
              <w:rPr>
                <w:b/>
              </w:rPr>
              <w:t>Designation</w:t>
            </w:r>
          </w:p>
        </w:tc>
        <w:tc>
          <w:tcPr>
            <w:tcW w:w="1250" w:type="pct"/>
          </w:tcPr>
          <w:p w14:paraId="369CA13E" w14:textId="77777777" w:rsidR="001A02FC" w:rsidRDefault="001A02FC" w:rsidP="00004EDA">
            <w:pPr>
              <w:pStyle w:val="NoSpacing"/>
              <w:rPr>
                <w:b/>
              </w:rPr>
            </w:pPr>
            <w:r>
              <w:rPr>
                <w:b/>
              </w:rPr>
              <w:t>Total accrued Hours (Days)</w:t>
            </w:r>
          </w:p>
        </w:tc>
        <w:tc>
          <w:tcPr>
            <w:tcW w:w="1250" w:type="pct"/>
          </w:tcPr>
          <w:p w14:paraId="31E299B9" w14:textId="77777777" w:rsidR="001A02FC" w:rsidRDefault="001A02FC" w:rsidP="00004EDA">
            <w:pPr>
              <w:pStyle w:val="NoSpacing"/>
              <w:rPr>
                <w:b/>
              </w:rPr>
            </w:pPr>
            <w:r>
              <w:rPr>
                <w:b/>
              </w:rPr>
              <w:t>Accrual Cap</w:t>
            </w:r>
          </w:p>
        </w:tc>
        <w:tc>
          <w:tcPr>
            <w:tcW w:w="1250" w:type="pct"/>
          </w:tcPr>
          <w:p w14:paraId="5D300BA6" w14:textId="77777777" w:rsidR="001A02FC" w:rsidRDefault="001A02FC" w:rsidP="00004EDA">
            <w:pPr>
              <w:pStyle w:val="NoSpacing"/>
              <w:jc w:val="center"/>
              <w:rPr>
                <w:b/>
              </w:rPr>
            </w:pPr>
            <w:r>
              <w:rPr>
                <w:b/>
              </w:rPr>
              <w:t>Allowed Rollover</w:t>
            </w:r>
          </w:p>
        </w:tc>
      </w:tr>
      <w:tr w:rsidR="001A02FC" w14:paraId="2D0D0868" w14:textId="77777777" w:rsidTr="009D4E03">
        <w:trPr>
          <w:trHeight w:val="265"/>
        </w:trPr>
        <w:tc>
          <w:tcPr>
            <w:tcW w:w="1250" w:type="pct"/>
          </w:tcPr>
          <w:p w14:paraId="68EA15BB" w14:textId="70F97F5D" w:rsidR="001A02FC" w:rsidRPr="008A6BFF" w:rsidRDefault="001A02FC" w:rsidP="00004EDA">
            <w:pPr>
              <w:pStyle w:val="NoSpacing"/>
            </w:pPr>
            <w:r>
              <w:t>Year One</w:t>
            </w:r>
          </w:p>
        </w:tc>
        <w:tc>
          <w:tcPr>
            <w:tcW w:w="1250" w:type="pct"/>
          </w:tcPr>
          <w:p w14:paraId="6C22FBA5" w14:textId="77777777" w:rsidR="001A02FC" w:rsidRPr="008A6BFF" w:rsidRDefault="001A02FC" w:rsidP="00004EDA">
            <w:pPr>
              <w:pStyle w:val="NoSpacing"/>
              <w:jc w:val="center"/>
            </w:pPr>
            <w:r>
              <w:t>64(8)</w:t>
            </w:r>
          </w:p>
        </w:tc>
        <w:tc>
          <w:tcPr>
            <w:tcW w:w="1250" w:type="pct"/>
          </w:tcPr>
          <w:p w14:paraId="151CCA93" w14:textId="77777777" w:rsidR="001A02FC" w:rsidRPr="008A6BFF" w:rsidRDefault="001A02FC" w:rsidP="00004EDA">
            <w:pPr>
              <w:pStyle w:val="NoSpacing"/>
              <w:jc w:val="center"/>
            </w:pPr>
            <w:r>
              <w:t>64</w:t>
            </w:r>
            <w:r w:rsidRPr="008A6BFF">
              <w:t xml:space="preserve"> </w:t>
            </w:r>
            <w:r>
              <w:t>H</w:t>
            </w:r>
            <w:r w:rsidRPr="008A6BFF">
              <w:t>ours/</w:t>
            </w:r>
            <w:r>
              <w:t>8</w:t>
            </w:r>
            <w:r w:rsidRPr="008A6BFF">
              <w:t xml:space="preserve"> </w:t>
            </w:r>
            <w:r>
              <w:t>D</w:t>
            </w:r>
            <w:r w:rsidRPr="008A6BFF">
              <w:t>ays</w:t>
            </w:r>
          </w:p>
        </w:tc>
        <w:tc>
          <w:tcPr>
            <w:tcW w:w="1250" w:type="pct"/>
          </w:tcPr>
          <w:p w14:paraId="0C9436F5" w14:textId="77777777" w:rsidR="001A02FC" w:rsidRPr="008A6BFF" w:rsidRDefault="001A02FC" w:rsidP="00004EDA">
            <w:pPr>
              <w:pStyle w:val="NoSpacing"/>
              <w:jc w:val="center"/>
            </w:pPr>
            <w:r w:rsidRPr="008A6BFF">
              <w:t>40</w:t>
            </w:r>
          </w:p>
        </w:tc>
      </w:tr>
      <w:tr w:rsidR="001A02FC" w14:paraId="19CF0C2E" w14:textId="77777777" w:rsidTr="009D4E03">
        <w:trPr>
          <w:trHeight w:val="265"/>
        </w:trPr>
        <w:tc>
          <w:tcPr>
            <w:tcW w:w="1250" w:type="pct"/>
          </w:tcPr>
          <w:p w14:paraId="6808487C" w14:textId="471B6508" w:rsidR="001A02FC" w:rsidRDefault="001A02FC" w:rsidP="00004EDA">
            <w:pPr>
              <w:pStyle w:val="NoSpacing"/>
            </w:pPr>
            <w:r>
              <w:t>Year Two</w:t>
            </w:r>
          </w:p>
        </w:tc>
        <w:tc>
          <w:tcPr>
            <w:tcW w:w="1250" w:type="pct"/>
          </w:tcPr>
          <w:p w14:paraId="24232DCD" w14:textId="77777777" w:rsidR="001A02FC" w:rsidRPr="008A6BFF" w:rsidRDefault="001A02FC" w:rsidP="00004EDA">
            <w:pPr>
              <w:pStyle w:val="NoSpacing"/>
              <w:jc w:val="center"/>
            </w:pPr>
            <w:r>
              <w:t>64(8)</w:t>
            </w:r>
          </w:p>
        </w:tc>
        <w:tc>
          <w:tcPr>
            <w:tcW w:w="1250" w:type="pct"/>
          </w:tcPr>
          <w:p w14:paraId="74A0E0BE" w14:textId="77777777" w:rsidR="001A02FC" w:rsidRPr="008A6BFF" w:rsidRDefault="001A02FC" w:rsidP="00004EDA">
            <w:pPr>
              <w:pStyle w:val="NoSpacing"/>
              <w:jc w:val="center"/>
            </w:pPr>
            <w:r>
              <w:t>64 Hours/8 Days</w:t>
            </w:r>
          </w:p>
        </w:tc>
        <w:tc>
          <w:tcPr>
            <w:tcW w:w="1250" w:type="pct"/>
          </w:tcPr>
          <w:p w14:paraId="5ADADFF8" w14:textId="77777777" w:rsidR="001A02FC" w:rsidRPr="008A6BFF" w:rsidRDefault="001A02FC" w:rsidP="00004EDA">
            <w:pPr>
              <w:pStyle w:val="NoSpacing"/>
              <w:jc w:val="center"/>
            </w:pPr>
            <w:r>
              <w:t>40</w:t>
            </w:r>
          </w:p>
        </w:tc>
      </w:tr>
      <w:tr w:rsidR="001A02FC" w14:paraId="7911442D" w14:textId="77777777" w:rsidTr="009D4E03">
        <w:trPr>
          <w:trHeight w:val="265"/>
        </w:trPr>
        <w:tc>
          <w:tcPr>
            <w:tcW w:w="1250" w:type="pct"/>
          </w:tcPr>
          <w:p w14:paraId="37130772" w14:textId="71079D7E" w:rsidR="001A02FC" w:rsidRDefault="001A02FC" w:rsidP="00004EDA">
            <w:pPr>
              <w:pStyle w:val="NoSpacing"/>
            </w:pPr>
            <w:r>
              <w:t>Year Three</w:t>
            </w:r>
          </w:p>
        </w:tc>
        <w:tc>
          <w:tcPr>
            <w:tcW w:w="1250" w:type="pct"/>
          </w:tcPr>
          <w:p w14:paraId="667E0476" w14:textId="77777777" w:rsidR="001A02FC" w:rsidRDefault="001A02FC" w:rsidP="00004EDA">
            <w:pPr>
              <w:pStyle w:val="NoSpacing"/>
              <w:jc w:val="center"/>
            </w:pPr>
            <w:r>
              <w:t>80 (10)</w:t>
            </w:r>
          </w:p>
        </w:tc>
        <w:tc>
          <w:tcPr>
            <w:tcW w:w="1250" w:type="pct"/>
          </w:tcPr>
          <w:p w14:paraId="0B7E04CD" w14:textId="77777777" w:rsidR="001A02FC" w:rsidRDefault="001A02FC" w:rsidP="00004EDA">
            <w:pPr>
              <w:pStyle w:val="NoSpacing"/>
              <w:jc w:val="center"/>
            </w:pPr>
            <w:r>
              <w:t>80 Hours/10 Days</w:t>
            </w:r>
          </w:p>
        </w:tc>
        <w:tc>
          <w:tcPr>
            <w:tcW w:w="1250" w:type="pct"/>
          </w:tcPr>
          <w:p w14:paraId="7C8AEF75" w14:textId="77777777" w:rsidR="001A02FC" w:rsidRDefault="001A02FC" w:rsidP="00004EDA">
            <w:pPr>
              <w:pStyle w:val="NoSpacing"/>
              <w:jc w:val="center"/>
            </w:pPr>
            <w:r>
              <w:t>40</w:t>
            </w:r>
          </w:p>
        </w:tc>
      </w:tr>
      <w:tr w:rsidR="001A02FC" w14:paraId="51A476B2" w14:textId="77777777" w:rsidTr="009D4E03">
        <w:trPr>
          <w:trHeight w:val="265"/>
        </w:trPr>
        <w:tc>
          <w:tcPr>
            <w:tcW w:w="1250" w:type="pct"/>
          </w:tcPr>
          <w:p w14:paraId="2671691C" w14:textId="77E4EE88" w:rsidR="001A02FC" w:rsidRDefault="001A02FC" w:rsidP="00004EDA">
            <w:pPr>
              <w:pStyle w:val="NoSpacing"/>
            </w:pPr>
            <w:r>
              <w:t>Year Six</w:t>
            </w:r>
          </w:p>
        </w:tc>
        <w:tc>
          <w:tcPr>
            <w:tcW w:w="1250" w:type="pct"/>
          </w:tcPr>
          <w:p w14:paraId="3807583B" w14:textId="77777777" w:rsidR="001A02FC" w:rsidRDefault="001A02FC" w:rsidP="00004EDA">
            <w:pPr>
              <w:pStyle w:val="NoSpacing"/>
              <w:jc w:val="center"/>
            </w:pPr>
            <w:r>
              <w:t>88 (11)</w:t>
            </w:r>
          </w:p>
        </w:tc>
        <w:tc>
          <w:tcPr>
            <w:tcW w:w="1250" w:type="pct"/>
          </w:tcPr>
          <w:p w14:paraId="0CD090B3" w14:textId="77777777" w:rsidR="001A02FC" w:rsidRDefault="001A02FC" w:rsidP="00004EDA">
            <w:pPr>
              <w:pStyle w:val="NoSpacing"/>
              <w:jc w:val="center"/>
            </w:pPr>
            <w:r>
              <w:t>88 Hours/11 Days</w:t>
            </w:r>
          </w:p>
        </w:tc>
        <w:tc>
          <w:tcPr>
            <w:tcW w:w="1250" w:type="pct"/>
          </w:tcPr>
          <w:p w14:paraId="384BDE85" w14:textId="77777777" w:rsidR="001A02FC" w:rsidRDefault="001A02FC" w:rsidP="00004EDA">
            <w:pPr>
              <w:pStyle w:val="NoSpacing"/>
              <w:jc w:val="center"/>
            </w:pPr>
            <w:r>
              <w:t>40</w:t>
            </w:r>
          </w:p>
        </w:tc>
      </w:tr>
      <w:tr w:rsidR="001A02FC" w14:paraId="2867DBC3" w14:textId="77777777" w:rsidTr="009D4E03">
        <w:trPr>
          <w:trHeight w:val="265"/>
        </w:trPr>
        <w:tc>
          <w:tcPr>
            <w:tcW w:w="1250" w:type="pct"/>
          </w:tcPr>
          <w:p w14:paraId="2D6A7776" w14:textId="6C2CD1B3" w:rsidR="001A02FC" w:rsidRDefault="001A02FC" w:rsidP="00004EDA">
            <w:pPr>
              <w:pStyle w:val="NoSpacing"/>
            </w:pPr>
            <w:r>
              <w:t>Year Seven</w:t>
            </w:r>
          </w:p>
        </w:tc>
        <w:tc>
          <w:tcPr>
            <w:tcW w:w="1250" w:type="pct"/>
          </w:tcPr>
          <w:p w14:paraId="07665980" w14:textId="77777777" w:rsidR="001A02FC" w:rsidRDefault="001A02FC" w:rsidP="00004EDA">
            <w:pPr>
              <w:pStyle w:val="NoSpacing"/>
              <w:jc w:val="center"/>
            </w:pPr>
            <w:r>
              <w:t>96 (12)</w:t>
            </w:r>
          </w:p>
        </w:tc>
        <w:tc>
          <w:tcPr>
            <w:tcW w:w="1250" w:type="pct"/>
          </w:tcPr>
          <w:p w14:paraId="7C843D6B" w14:textId="77777777" w:rsidR="001A02FC" w:rsidRDefault="001A02FC" w:rsidP="00004EDA">
            <w:pPr>
              <w:pStyle w:val="NoSpacing"/>
              <w:jc w:val="center"/>
            </w:pPr>
            <w:r>
              <w:t>96 Hours/12 Days</w:t>
            </w:r>
          </w:p>
        </w:tc>
        <w:tc>
          <w:tcPr>
            <w:tcW w:w="1250" w:type="pct"/>
          </w:tcPr>
          <w:p w14:paraId="78351B5E" w14:textId="77777777" w:rsidR="001A02FC" w:rsidRDefault="001A02FC" w:rsidP="00004EDA">
            <w:pPr>
              <w:pStyle w:val="NoSpacing"/>
              <w:jc w:val="center"/>
            </w:pPr>
            <w:r>
              <w:t>40</w:t>
            </w:r>
          </w:p>
        </w:tc>
      </w:tr>
      <w:tr w:rsidR="001A02FC" w14:paraId="27D18963" w14:textId="77777777" w:rsidTr="009D4E03">
        <w:trPr>
          <w:trHeight w:val="265"/>
        </w:trPr>
        <w:tc>
          <w:tcPr>
            <w:tcW w:w="1250" w:type="pct"/>
          </w:tcPr>
          <w:p w14:paraId="33668FFF" w14:textId="05B07DA1" w:rsidR="001A02FC" w:rsidRDefault="001A02FC" w:rsidP="00004EDA">
            <w:pPr>
              <w:pStyle w:val="NoSpacing"/>
            </w:pPr>
            <w:r>
              <w:t>Year Eight</w:t>
            </w:r>
          </w:p>
        </w:tc>
        <w:tc>
          <w:tcPr>
            <w:tcW w:w="1250" w:type="pct"/>
          </w:tcPr>
          <w:p w14:paraId="54AF564B" w14:textId="77777777" w:rsidR="001A02FC" w:rsidRDefault="001A02FC" w:rsidP="00004EDA">
            <w:pPr>
              <w:pStyle w:val="NoSpacing"/>
              <w:jc w:val="center"/>
            </w:pPr>
            <w:r>
              <w:t>104 (13)</w:t>
            </w:r>
          </w:p>
        </w:tc>
        <w:tc>
          <w:tcPr>
            <w:tcW w:w="1250" w:type="pct"/>
          </w:tcPr>
          <w:p w14:paraId="658E6425" w14:textId="77777777" w:rsidR="001A02FC" w:rsidRDefault="001A02FC" w:rsidP="00004EDA">
            <w:pPr>
              <w:pStyle w:val="NoSpacing"/>
              <w:jc w:val="center"/>
            </w:pPr>
            <w:r>
              <w:t>104 Hours/13 Days</w:t>
            </w:r>
          </w:p>
        </w:tc>
        <w:tc>
          <w:tcPr>
            <w:tcW w:w="1250" w:type="pct"/>
          </w:tcPr>
          <w:p w14:paraId="22A4D023" w14:textId="77777777" w:rsidR="001A02FC" w:rsidRDefault="001A02FC" w:rsidP="00004EDA">
            <w:pPr>
              <w:pStyle w:val="NoSpacing"/>
              <w:jc w:val="center"/>
            </w:pPr>
            <w:r>
              <w:t>40</w:t>
            </w:r>
          </w:p>
        </w:tc>
      </w:tr>
      <w:tr w:rsidR="001A02FC" w14:paraId="204D9DDC" w14:textId="77777777" w:rsidTr="009D4E03">
        <w:trPr>
          <w:trHeight w:val="265"/>
        </w:trPr>
        <w:tc>
          <w:tcPr>
            <w:tcW w:w="1250" w:type="pct"/>
          </w:tcPr>
          <w:p w14:paraId="2C90570F" w14:textId="5493A50B" w:rsidR="001A02FC" w:rsidRDefault="001A02FC" w:rsidP="00004EDA">
            <w:pPr>
              <w:pStyle w:val="NoSpacing"/>
            </w:pPr>
            <w:r>
              <w:t>Year Nine</w:t>
            </w:r>
          </w:p>
        </w:tc>
        <w:tc>
          <w:tcPr>
            <w:tcW w:w="1250" w:type="pct"/>
          </w:tcPr>
          <w:p w14:paraId="21FC2206" w14:textId="77777777" w:rsidR="001A02FC" w:rsidRDefault="001A02FC" w:rsidP="00004EDA">
            <w:pPr>
              <w:pStyle w:val="NoSpacing"/>
              <w:jc w:val="center"/>
            </w:pPr>
            <w:r>
              <w:t>112 (14)</w:t>
            </w:r>
          </w:p>
        </w:tc>
        <w:tc>
          <w:tcPr>
            <w:tcW w:w="1250" w:type="pct"/>
          </w:tcPr>
          <w:p w14:paraId="60B21320" w14:textId="77777777" w:rsidR="001A02FC" w:rsidRDefault="001A02FC" w:rsidP="00004EDA">
            <w:pPr>
              <w:pStyle w:val="NoSpacing"/>
              <w:jc w:val="center"/>
            </w:pPr>
            <w:r>
              <w:t>112 Hours/14 Days</w:t>
            </w:r>
          </w:p>
        </w:tc>
        <w:tc>
          <w:tcPr>
            <w:tcW w:w="1250" w:type="pct"/>
          </w:tcPr>
          <w:p w14:paraId="2A948F63" w14:textId="77777777" w:rsidR="001A02FC" w:rsidRDefault="001A02FC" w:rsidP="00004EDA">
            <w:pPr>
              <w:pStyle w:val="NoSpacing"/>
              <w:jc w:val="center"/>
            </w:pPr>
            <w:r>
              <w:t>40</w:t>
            </w:r>
          </w:p>
        </w:tc>
      </w:tr>
      <w:tr w:rsidR="001A02FC" w14:paraId="695BC42B" w14:textId="77777777" w:rsidTr="009D4E03">
        <w:trPr>
          <w:trHeight w:val="265"/>
        </w:trPr>
        <w:tc>
          <w:tcPr>
            <w:tcW w:w="1250" w:type="pct"/>
          </w:tcPr>
          <w:p w14:paraId="5CADD30B" w14:textId="22F29099" w:rsidR="001A02FC" w:rsidRDefault="001A02FC" w:rsidP="00004EDA">
            <w:pPr>
              <w:pStyle w:val="NoSpacing"/>
            </w:pPr>
            <w:r>
              <w:t>Year Ten</w:t>
            </w:r>
          </w:p>
        </w:tc>
        <w:tc>
          <w:tcPr>
            <w:tcW w:w="1250" w:type="pct"/>
          </w:tcPr>
          <w:p w14:paraId="1CFFAC3E" w14:textId="77777777" w:rsidR="001A02FC" w:rsidRDefault="001A02FC" w:rsidP="00004EDA">
            <w:pPr>
              <w:pStyle w:val="NoSpacing"/>
              <w:jc w:val="center"/>
            </w:pPr>
            <w:r>
              <w:t>120 (15)</w:t>
            </w:r>
          </w:p>
        </w:tc>
        <w:tc>
          <w:tcPr>
            <w:tcW w:w="1250" w:type="pct"/>
          </w:tcPr>
          <w:p w14:paraId="177F9487" w14:textId="77777777" w:rsidR="001A02FC" w:rsidRDefault="001A02FC" w:rsidP="00004EDA">
            <w:pPr>
              <w:pStyle w:val="NoSpacing"/>
              <w:jc w:val="center"/>
            </w:pPr>
            <w:r>
              <w:t>120 Hours/15 Days</w:t>
            </w:r>
          </w:p>
        </w:tc>
        <w:tc>
          <w:tcPr>
            <w:tcW w:w="1250" w:type="pct"/>
          </w:tcPr>
          <w:p w14:paraId="1471B5E5" w14:textId="77777777" w:rsidR="001A02FC" w:rsidRDefault="001A02FC" w:rsidP="00004EDA">
            <w:pPr>
              <w:pStyle w:val="NoSpacing"/>
              <w:jc w:val="center"/>
            </w:pPr>
            <w:r>
              <w:t>40</w:t>
            </w:r>
          </w:p>
        </w:tc>
      </w:tr>
    </w:tbl>
    <w:p w14:paraId="2FC62F66" w14:textId="77777777" w:rsidR="009D4E03" w:rsidRDefault="009D4E03" w:rsidP="001A02FC">
      <w:pPr>
        <w:pStyle w:val="Subtitle"/>
      </w:pPr>
    </w:p>
    <w:p w14:paraId="51283DDD" w14:textId="2A6CECD3" w:rsidR="001A02FC" w:rsidRDefault="001A02FC" w:rsidP="001A02FC">
      <w:pPr>
        <w:pStyle w:val="Subtitle"/>
      </w:pPr>
      <w:r w:rsidRPr="009D4E03">
        <w:rPr>
          <w:b/>
          <w:bCs/>
        </w:rPr>
        <w:t>Hourly Paid Holidays:</w:t>
      </w:r>
      <w:r>
        <w:t xml:space="preserve"> </w:t>
      </w:r>
      <w:r>
        <w:tab/>
      </w:r>
      <w:r>
        <w:tab/>
      </w:r>
      <w:r>
        <w:tab/>
      </w:r>
      <w:r>
        <w:tab/>
      </w:r>
      <w:r>
        <w:tab/>
      </w:r>
      <w:r w:rsidRPr="009D4E03">
        <w:rPr>
          <w:b/>
          <w:bCs/>
        </w:rPr>
        <w:t>Closed – Not Paid:</w:t>
      </w:r>
    </w:p>
    <w:p w14:paraId="5F732F01" w14:textId="5B47272F" w:rsidR="001A02FC" w:rsidRDefault="001A02FC" w:rsidP="001A02FC">
      <w:pPr>
        <w:pStyle w:val="ListParagraph"/>
        <w:numPr>
          <w:ilvl w:val="0"/>
          <w:numId w:val="1"/>
        </w:numPr>
      </w:pPr>
      <w:r>
        <w:t xml:space="preserve">New Year’s Day </w:t>
      </w:r>
      <w:r>
        <w:tab/>
      </w:r>
      <w:r>
        <w:tab/>
      </w:r>
      <w:r>
        <w:tab/>
      </w:r>
      <w:r>
        <w:tab/>
      </w:r>
      <w:r>
        <w:tab/>
      </w:r>
      <w:r>
        <w:tab/>
      </w:r>
      <w:r>
        <w:tab/>
        <w:t>Memorial Day</w:t>
      </w:r>
    </w:p>
    <w:p w14:paraId="42AC59F3" w14:textId="4ED48C68" w:rsidR="001A02FC" w:rsidRDefault="001A02FC" w:rsidP="001A02FC">
      <w:pPr>
        <w:pStyle w:val="ListParagraph"/>
        <w:numPr>
          <w:ilvl w:val="0"/>
          <w:numId w:val="1"/>
        </w:numPr>
      </w:pPr>
      <w:r>
        <w:t>4</w:t>
      </w:r>
      <w:r w:rsidRPr="001A02FC">
        <w:rPr>
          <w:vertAlign w:val="superscript"/>
        </w:rPr>
        <w:t>th</w:t>
      </w:r>
      <w:r>
        <w:t xml:space="preserve"> of July</w:t>
      </w:r>
      <w:r>
        <w:tab/>
      </w:r>
      <w:r>
        <w:tab/>
      </w:r>
      <w:r>
        <w:tab/>
      </w:r>
      <w:r>
        <w:tab/>
      </w:r>
      <w:r>
        <w:tab/>
      </w:r>
      <w:r>
        <w:tab/>
      </w:r>
      <w:r>
        <w:tab/>
        <w:t>Labor Day</w:t>
      </w:r>
    </w:p>
    <w:p w14:paraId="2074966A" w14:textId="3B929016" w:rsidR="001A02FC" w:rsidRDefault="001A02FC" w:rsidP="001A02FC">
      <w:pPr>
        <w:pStyle w:val="ListParagraph"/>
        <w:numPr>
          <w:ilvl w:val="0"/>
          <w:numId w:val="1"/>
        </w:numPr>
      </w:pPr>
      <w:r>
        <w:t xml:space="preserve">Thanksgiving Day </w:t>
      </w:r>
    </w:p>
    <w:p w14:paraId="7B8D0616" w14:textId="3576DA7F" w:rsidR="009D4E03" w:rsidRDefault="001A02FC" w:rsidP="009D4E03">
      <w:pPr>
        <w:pStyle w:val="ListParagraph"/>
        <w:numPr>
          <w:ilvl w:val="0"/>
          <w:numId w:val="1"/>
        </w:numPr>
      </w:pPr>
      <w:r>
        <w:t>Christmas Day</w:t>
      </w:r>
    </w:p>
    <w:p w14:paraId="2BA91972" w14:textId="3B982D39" w:rsidR="009D4E03" w:rsidRPr="0007061A" w:rsidRDefault="00F221E7" w:rsidP="0007061A">
      <w:pPr>
        <w:pStyle w:val="Heading1"/>
      </w:pPr>
      <w:r w:rsidRPr="0007061A">
        <w:t>Salary Schedule:</w:t>
      </w:r>
    </w:p>
    <w:tbl>
      <w:tblPr>
        <w:tblStyle w:val="TableGrid"/>
        <w:tblpPr w:leftFromText="180" w:rightFromText="180" w:vertAnchor="page" w:horzAnchor="margin" w:tblpY="8731"/>
        <w:tblW w:w="0" w:type="auto"/>
        <w:tblLook w:val="04A0" w:firstRow="1" w:lastRow="0" w:firstColumn="1" w:lastColumn="0" w:noHBand="0" w:noVBand="1"/>
      </w:tblPr>
      <w:tblGrid>
        <w:gridCol w:w="2055"/>
        <w:gridCol w:w="2056"/>
        <w:gridCol w:w="2056"/>
        <w:gridCol w:w="2056"/>
      </w:tblGrid>
      <w:tr w:rsidR="008B0BEC" w:rsidRPr="0007061A" w14:paraId="54D20107" w14:textId="77777777" w:rsidTr="0007061A">
        <w:trPr>
          <w:trHeight w:val="293"/>
        </w:trPr>
        <w:tc>
          <w:tcPr>
            <w:tcW w:w="2055" w:type="dxa"/>
          </w:tcPr>
          <w:p w14:paraId="4BDFAF27" w14:textId="77777777" w:rsidR="008B0BEC" w:rsidRPr="0007061A" w:rsidRDefault="008B0BEC" w:rsidP="0007061A">
            <w:pPr>
              <w:pStyle w:val="NoSpacing"/>
            </w:pPr>
            <w:r w:rsidRPr="0007061A">
              <w:t>Designation</w:t>
            </w:r>
          </w:p>
        </w:tc>
        <w:tc>
          <w:tcPr>
            <w:tcW w:w="2056" w:type="dxa"/>
          </w:tcPr>
          <w:p w14:paraId="5F4F37D1" w14:textId="77777777" w:rsidR="008B0BEC" w:rsidRPr="0007061A" w:rsidRDefault="008B0BEC" w:rsidP="0007061A">
            <w:pPr>
              <w:pStyle w:val="NoSpacing"/>
            </w:pPr>
            <w:r w:rsidRPr="0007061A">
              <w:t>Total accrued Hours (Days)</w:t>
            </w:r>
          </w:p>
        </w:tc>
        <w:tc>
          <w:tcPr>
            <w:tcW w:w="2056" w:type="dxa"/>
          </w:tcPr>
          <w:p w14:paraId="7D1D4628" w14:textId="77777777" w:rsidR="008B0BEC" w:rsidRPr="0007061A" w:rsidRDefault="008B0BEC" w:rsidP="0007061A">
            <w:pPr>
              <w:pStyle w:val="NoSpacing"/>
            </w:pPr>
            <w:r w:rsidRPr="0007061A">
              <w:t>Accrual Cap</w:t>
            </w:r>
          </w:p>
        </w:tc>
        <w:tc>
          <w:tcPr>
            <w:tcW w:w="2056" w:type="dxa"/>
          </w:tcPr>
          <w:p w14:paraId="671968AF" w14:textId="77777777" w:rsidR="008B0BEC" w:rsidRPr="0007061A" w:rsidRDefault="008B0BEC" w:rsidP="0007061A">
            <w:pPr>
              <w:pStyle w:val="NoSpacing"/>
            </w:pPr>
            <w:r w:rsidRPr="0007061A">
              <w:t>Allowed Rollover</w:t>
            </w:r>
          </w:p>
        </w:tc>
      </w:tr>
      <w:tr w:rsidR="008B0BEC" w:rsidRPr="0007061A" w14:paraId="0559212D" w14:textId="77777777" w:rsidTr="0007061A">
        <w:trPr>
          <w:trHeight w:val="293"/>
        </w:trPr>
        <w:tc>
          <w:tcPr>
            <w:tcW w:w="2055" w:type="dxa"/>
          </w:tcPr>
          <w:p w14:paraId="177E4243" w14:textId="718BFCBF" w:rsidR="008B0BEC" w:rsidRPr="0007061A" w:rsidRDefault="008B0BEC" w:rsidP="0007061A">
            <w:pPr>
              <w:pStyle w:val="NoSpacing"/>
            </w:pPr>
            <w:r w:rsidRPr="0007061A">
              <w:t>Year One</w:t>
            </w:r>
          </w:p>
        </w:tc>
        <w:tc>
          <w:tcPr>
            <w:tcW w:w="2056" w:type="dxa"/>
          </w:tcPr>
          <w:p w14:paraId="61C0BA36" w14:textId="77777777" w:rsidR="008B0BEC" w:rsidRPr="0007061A" w:rsidRDefault="008B0BEC" w:rsidP="008057DB">
            <w:pPr>
              <w:pStyle w:val="NoSpacing"/>
              <w:jc w:val="center"/>
            </w:pPr>
            <w:r w:rsidRPr="0007061A">
              <w:t>64(8)</w:t>
            </w:r>
          </w:p>
        </w:tc>
        <w:tc>
          <w:tcPr>
            <w:tcW w:w="2056" w:type="dxa"/>
          </w:tcPr>
          <w:p w14:paraId="39B49A76" w14:textId="77777777" w:rsidR="008B0BEC" w:rsidRPr="0007061A" w:rsidRDefault="008B0BEC" w:rsidP="0007061A">
            <w:pPr>
              <w:pStyle w:val="NoSpacing"/>
            </w:pPr>
            <w:r w:rsidRPr="0007061A">
              <w:t>64 Hours/8 Days</w:t>
            </w:r>
          </w:p>
        </w:tc>
        <w:tc>
          <w:tcPr>
            <w:tcW w:w="2056" w:type="dxa"/>
          </w:tcPr>
          <w:p w14:paraId="60966979" w14:textId="77777777" w:rsidR="008B0BEC" w:rsidRPr="0007061A" w:rsidRDefault="008B0BEC" w:rsidP="00112E5B">
            <w:pPr>
              <w:pStyle w:val="NoSpacing"/>
              <w:jc w:val="center"/>
            </w:pPr>
            <w:r w:rsidRPr="0007061A">
              <w:t>40</w:t>
            </w:r>
          </w:p>
        </w:tc>
      </w:tr>
      <w:tr w:rsidR="008B0BEC" w:rsidRPr="0007061A" w14:paraId="459F5044" w14:textId="77777777" w:rsidTr="0007061A">
        <w:trPr>
          <w:trHeight w:val="293"/>
        </w:trPr>
        <w:tc>
          <w:tcPr>
            <w:tcW w:w="2055" w:type="dxa"/>
          </w:tcPr>
          <w:p w14:paraId="475A6322" w14:textId="7CE0E64E" w:rsidR="008B0BEC" w:rsidRPr="0007061A" w:rsidRDefault="008B0BEC" w:rsidP="0007061A">
            <w:pPr>
              <w:pStyle w:val="NoSpacing"/>
            </w:pPr>
            <w:r w:rsidRPr="0007061A">
              <w:t>Year Two</w:t>
            </w:r>
          </w:p>
        </w:tc>
        <w:tc>
          <w:tcPr>
            <w:tcW w:w="2056" w:type="dxa"/>
          </w:tcPr>
          <w:p w14:paraId="7199FA7F" w14:textId="77777777" w:rsidR="008B0BEC" w:rsidRPr="0007061A" w:rsidRDefault="008B0BEC" w:rsidP="008057DB">
            <w:pPr>
              <w:pStyle w:val="NoSpacing"/>
              <w:jc w:val="center"/>
            </w:pPr>
            <w:r w:rsidRPr="0007061A">
              <w:t>104 (13)</w:t>
            </w:r>
          </w:p>
        </w:tc>
        <w:tc>
          <w:tcPr>
            <w:tcW w:w="2056" w:type="dxa"/>
          </w:tcPr>
          <w:p w14:paraId="3B2BD099" w14:textId="77777777" w:rsidR="008B0BEC" w:rsidRPr="0007061A" w:rsidRDefault="008B0BEC" w:rsidP="0007061A">
            <w:pPr>
              <w:pStyle w:val="NoSpacing"/>
            </w:pPr>
            <w:r w:rsidRPr="0007061A">
              <w:t>104 Hours/13 Days</w:t>
            </w:r>
          </w:p>
        </w:tc>
        <w:tc>
          <w:tcPr>
            <w:tcW w:w="2056" w:type="dxa"/>
          </w:tcPr>
          <w:p w14:paraId="1AEE5E2B" w14:textId="77777777" w:rsidR="008B0BEC" w:rsidRPr="0007061A" w:rsidRDefault="008B0BEC" w:rsidP="00112E5B">
            <w:pPr>
              <w:pStyle w:val="NoSpacing"/>
              <w:jc w:val="center"/>
            </w:pPr>
            <w:r w:rsidRPr="0007061A">
              <w:t>40</w:t>
            </w:r>
          </w:p>
        </w:tc>
      </w:tr>
      <w:tr w:rsidR="008B0BEC" w:rsidRPr="0007061A" w14:paraId="3488DFB2" w14:textId="77777777" w:rsidTr="0007061A">
        <w:trPr>
          <w:trHeight w:val="293"/>
        </w:trPr>
        <w:tc>
          <w:tcPr>
            <w:tcW w:w="2055" w:type="dxa"/>
          </w:tcPr>
          <w:p w14:paraId="0BD726D5" w14:textId="7B8BCA19" w:rsidR="008B0BEC" w:rsidRPr="0007061A" w:rsidRDefault="008B0BEC" w:rsidP="0007061A">
            <w:pPr>
              <w:pStyle w:val="NoSpacing"/>
            </w:pPr>
            <w:r w:rsidRPr="0007061A">
              <w:t>Year Six</w:t>
            </w:r>
          </w:p>
        </w:tc>
        <w:tc>
          <w:tcPr>
            <w:tcW w:w="2056" w:type="dxa"/>
          </w:tcPr>
          <w:p w14:paraId="57F982F5" w14:textId="77777777" w:rsidR="008B0BEC" w:rsidRPr="0007061A" w:rsidRDefault="008B0BEC" w:rsidP="008057DB">
            <w:pPr>
              <w:pStyle w:val="NoSpacing"/>
              <w:jc w:val="center"/>
            </w:pPr>
            <w:r w:rsidRPr="0007061A">
              <w:t>112 (14)</w:t>
            </w:r>
          </w:p>
        </w:tc>
        <w:tc>
          <w:tcPr>
            <w:tcW w:w="2056" w:type="dxa"/>
          </w:tcPr>
          <w:p w14:paraId="1A21D915" w14:textId="77777777" w:rsidR="008B0BEC" w:rsidRPr="0007061A" w:rsidRDefault="008B0BEC" w:rsidP="0007061A">
            <w:pPr>
              <w:pStyle w:val="NoSpacing"/>
            </w:pPr>
            <w:r w:rsidRPr="0007061A">
              <w:t>112 Hours/14 Days</w:t>
            </w:r>
          </w:p>
        </w:tc>
        <w:tc>
          <w:tcPr>
            <w:tcW w:w="2056" w:type="dxa"/>
          </w:tcPr>
          <w:p w14:paraId="1F91B992" w14:textId="77777777" w:rsidR="008B0BEC" w:rsidRPr="0007061A" w:rsidRDefault="008B0BEC" w:rsidP="00112E5B">
            <w:pPr>
              <w:pStyle w:val="NoSpacing"/>
              <w:jc w:val="center"/>
            </w:pPr>
            <w:r w:rsidRPr="0007061A">
              <w:t>40</w:t>
            </w:r>
          </w:p>
        </w:tc>
      </w:tr>
      <w:tr w:rsidR="008B0BEC" w:rsidRPr="0007061A" w14:paraId="29630F58" w14:textId="77777777" w:rsidTr="0007061A">
        <w:trPr>
          <w:trHeight w:val="293"/>
        </w:trPr>
        <w:tc>
          <w:tcPr>
            <w:tcW w:w="2055" w:type="dxa"/>
          </w:tcPr>
          <w:p w14:paraId="01FA7859" w14:textId="083561F1" w:rsidR="008B0BEC" w:rsidRPr="0007061A" w:rsidRDefault="008B0BEC" w:rsidP="0007061A">
            <w:pPr>
              <w:pStyle w:val="NoSpacing"/>
            </w:pPr>
            <w:r w:rsidRPr="0007061A">
              <w:t>Year Seven</w:t>
            </w:r>
          </w:p>
        </w:tc>
        <w:tc>
          <w:tcPr>
            <w:tcW w:w="2056" w:type="dxa"/>
          </w:tcPr>
          <w:p w14:paraId="00E7A928" w14:textId="77777777" w:rsidR="008B0BEC" w:rsidRPr="0007061A" w:rsidRDefault="008B0BEC" w:rsidP="008057DB">
            <w:pPr>
              <w:pStyle w:val="NoSpacing"/>
              <w:jc w:val="center"/>
            </w:pPr>
            <w:r w:rsidRPr="0007061A">
              <w:t>120 (15)</w:t>
            </w:r>
          </w:p>
        </w:tc>
        <w:tc>
          <w:tcPr>
            <w:tcW w:w="2056" w:type="dxa"/>
          </w:tcPr>
          <w:p w14:paraId="52510733" w14:textId="77777777" w:rsidR="008B0BEC" w:rsidRPr="0007061A" w:rsidRDefault="008B0BEC" w:rsidP="0007061A">
            <w:pPr>
              <w:pStyle w:val="NoSpacing"/>
            </w:pPr>
            <w:r w:rsidRPr="0007061A">
              <w:t>120 Hours/15 Days</w:t>
            </w:r>
          </w:p>
        </w:tc>
        <w:tc>
          <w:tcPr>
            <w:tcW w:w="2056" w:type="dxa"/>
          </w:tcPr>
          <w:p w14:paraId="098E0BB0" w14:textId="77777777" w:rsidR="008B0BEC" w:rsidRPr="0007061A" w:rsidRDefault="008B0BEC" w:rsidP="00112E5B">
            <w:pPr>
              <w:pStyle w:val="NoSpacing"/>
              <w:jc w:val="center"/>
            </w:pPr>
            <w:r w:rsidRPr="0007061A">
              <w:t>40</w:t>
            </w:r>
          </w:p>
        </w:tc>
      </w:tr>
      <w:tr w:rsidR="008B0BEC" w:rsidRPr="0007061A" w14:paraId="454521F9" w14:textId="77777777" w:rsidTr="0007061A">
        <w:trPr>
          <w:trHeight w:val="293"/>
        </w:trPr>
        <w:tc>
          <w:tcPr>
            <w:tcW w:w="2055" w:type="dxa"/>
          </w:tcPr>
          <w:p w14:paraId="5850637B" w14:textId="5295C209" w:rsidR="008B0BEC" w:rsidRPr="0007061A" w:rsidRDefault="008B0BEC" w:rsidP="0007061A">
            <w:pPr>
              <w:pStyle w:val="NoSpacing"/>
            </w:pPr>
            <w:r w:rsidRPr="0007061A">
              <w:t>Year Eight</w:t>
            </w:r>
          </w:p>
        </w:tc>
        <w:tc>
          <w:tcPr>
            <w:tcW w:w="2056" w:type="dxa"/>
          </w:tcPr>
          <w:p w14:paraId="1F054E96" w14:textId="77777777" w:rsidR="008B0BEC" w:rsidRPr="0007061A" w:rsidRDefault="008B0BEC" w:rsidP="008057DB">
            <w:pPr>
              <w:pStyle w:val="NoSpacing"/>
              <w:jc w:val="center"/>
            </w:pPr>
            <w:r w:rsidRPr="0007061A">
              <w:t>128 (16)</w:t>
            </w:r>
          </w:p>
        </w:tc>
        <w:tc>
          <w:tcPr>
            <w:tcW w:w="2056" w:type="dxa"/>
          </w:tcPr>
          <w:p w14:paraId="29A48F5C" w14:textId="77777777" w:rsidR="008B0BEC" w:rsidRPr="0007061A" w:rsidRDefault="008B0BEC" w:rsidP="0007061A">
            <w:pPr>
              <w:pStyle w:val="NoSpacing"/>
            </w:pPr>
            <w:r w:rsidRPr="0007061A">
              <w:t>128 Hours/16 Days</w:t>
            </w:r>
          </w:p>
        </w:tc>
        <w:tc>
          <w:tcPr>
            <w:tcW w:w="2056" w:type="dxa"/>
          </w:tcPr>
          <w:p w14:paraId="291C7F1C" w14:textId="77777777" w:rsidR="008B0BEC" w:rsidRPr="0007061A" w:rsidRDefault="008B0BEC" w:rsidP="00112E5B">
            <w:pPr>
              <w:pStyle w:val="NoSpacing"/>
              <w:jc w:val="center"/>
            </w:pPr>
            <w:r w:rsidRPr="0007061A">
              <w:t>40</w:t>
            </w:r>
          </w:p>
        </w:tc>
      </w:tr>
      <w:tr w:rsidR="008B0BEC" w:rsidRPr="0007061A" w14:paraId="4E7CF4CD" w14:textId="77777777" w:rsidTr="0007061A">
        <w:trPr>
          <w:trHeight w:val="293"/>
        </w:trPr>
        <w:tc>
          <w:tcPr>
            <w:tcW w:w="2055" w:type="dxa"/>
          </w:tcPr>
          <w:p w14:paraId="08352E45" w14:textId="53EC3F20" w:rsidR="008B0BEC" w:rsidRPr="0007061A" w:rsidRDefault="008B0BEC" w:rsidP="0007061A">
            <w:pPr>
              <w:pStyle w:val="NoSpacing"/>
            </w:pPr>
            <w:r w:rsidRPr="0007061A">
              <w:t>Year Nine</w:t>
            </w:r>
          </w:p>
        </w:tc>
        <w:tc>
          <w:tcPr>
            <w:tcW w:w="2056" w:type="dxa"/>
          </w:tcPr>
          <w:p w14:paraId="7B3CB440" w14:textId="77777777" w:rsidR="008B0BEC" w:rsidRPr="0007061A" w:rsidRDefault="008B0BEC" w:rsidP="008057DB">
            <w:pPr>
              <w:pStyle w:val="NoSpacing"/>
              <w:jc w:val="center"/>
            </w:pPr>
            <w:r w:rsidRPr="0007061A">
              <w:t>136 (17)</w:t>
            </w:r>
          </w:p>
        </w:tc>
        <w:tc>
          <w:tcPr>
            <w:tcW w:w="2056" w:type="dxa"/>
          </w:tcPr>
          <w:p w14:paraId="62DBFB60" w14:textId="77777777" w:rsidR="008B0BEC" w:rsidRPr="0007061A" w:rsidRDefault="008B0BEC" w:rsidP="0007061A">
            <w:pPr>
              <w:pStyle w:val="NoSpacing"/>
            </w:pPr>
            <w:r w:rsidRPr="0007061A">
              <w:t>136 Hours/17 Days</w:t>
            </w:r>
          </w:p>
        </w:tc>
        <w:tc>
          <w:tcPr>
            <w:tcW w:w="2056" w:type="dxa"/>
          </w:tcPr>
          <w:p w14:paraId="2C478318" w14:textId="77777777" w:rsidR="008B0BEC" w:rsidRPr="0007061A" w:rsidRDefault="008B0BEC" w:rsidP="00112E5B">
            <w:pPr>
              <w:pStyle w:val="NoSpacing"/>
              <w:jc w:val="center"/>
            </w:pPr>
            <w:r w:rsidRPr="0007061A">
              <w:t>40</w:t>
            </w:r>
          </w:p>
        </w:tc>
      </w:tr>
      <w:tr w:rsidR="008B0BEC" w:rsidRPr="0007061A" w14:paraId="51AE6D4E" w14:textId="77777777" w:rsidTr="0007061A">
        <w:trPr>
          <w:trHeight w:val="293"/>
        </w:trPr>
        <w:tc>
          <w:tcPr>
            <w:tcW w:w="2055" w:type="dxa"/>
          </w:tcPr>
          <w:p w14:paraId="2AC84872" w14:textId="274BB36C" w:rsidR="008B0BEC" w:rsidRPr="0007061A" w:rsidRDefault="008B0BEC" w:rsidP="0007061A">
            <w:pPr>
              <w:pStyle w:val="NoSpacing"/>
            </w:pPr>
            <w:r w:rsidRPr="0007061A">
              <w:t>Year Ten</w:t>
            </w:r>
          </w:p>
        </w:tc>
        <w:tc>
          <w:tcPr>
            <w:tcW w:w="2056" w:type="dxa"/>
          </w:tcPr>
          <w:p w14:paraId="60900D70" w14:textId="77777777" w:rsidR="008B0BEC" w:rsidRPr="0007061A" w:rsidRDefault="008B0BEC" w:rsidP="008057DB">
            <w:pPr>
              <w:pStyle w:val="NoSpacing"/>
              <w:jc w:val="center"/>
            </w:pPr>
            <w:r w:rsidRPr="0007061A">
              <w:t>144 (18)</w:t>
            </w:r>
          </w:p>
        </w:tc>
        <w:tc>
          <w:tcPr>
            <w:tcW w:w="2056" w:type="dxa"/>
          </w:tcPr>
          <w:p w14:paraId="11605B3B" w14:textId="77777777" w:rsidR="008B0BEC" w:rsidRPr="0007061A" w:rsidRDefault="008B0BEC" w:rsidP="0007061A">
            <w:pPr>
              <w:pStyle w:val="NoSpacing"/>
            </w:pPr>
            <w:r w:rsidRPr="0007061A">
              <w:t>144 Hours/18 Days</w:t>
            </w:r>
          </w:p>
        </w:tc>
        <w:tc>
          <w:tcPr>
            <w:tcW w:w="2056" w:type="dxa"/>
          </w:tcPr>
          <w:p w14:paraId="38989C3C" w14:textId="77777777" w:rsidR="008B0BEC" w:rsidRPr="0007061A" w:rsidRDefault="008B0BEC" w:rsidP="00112E5B">
            <w:pPr>
              <w:pStyle w:val="NoSpacing"/>
              <w:jc w:val="center"/>
            </w:pPr>
            <w:r w:rsidRPr="0007061A">
              <w:t>40</w:t>
            </w:r>
          </w:p>
        </w:tc>
      </w:tr>
    </w:tbl>
    <w:p w14:paraId="580BC39D" w14:textId="565C4B0E" w:rsidR="00F221E7" w:rsidRPr="0007061A" w:rsidRDefault="00F221E7" w:rsidP="0007061A">
      <w:pPr>
        <w:pStyle w:val="NoSpacing"/>
      </w:pPr>
    </w:p>
    <w:p w14:paraId="2DB83CF1" w14:textId="1006AFC3" w:rsidR="00F221E7" w:rsidRPr="0007061A" w:rsidRDefault="00F221E7" w:rsidP="0007061A">
      <w:pPr>
        <w:pStyle w:val="NoSpacing"/>
      </w:pPr>
    </w:p>
    <w:p w14:paraId="6B9186E2" w14:textId="48F06B09" w:rsidR="00F221E7" w:rsidRPr="0007061A" w:rsidRDefault="00F221E7" w:rsidP="0007061A">
      <w:pPr>
        <w:pStyle w:val="NoSpacing"/>
      </w:pPr>
    </w:p>
    <w:p w14:paraId="4A471781" w14:textId="245D8489" w:rsidR="00F221E7" w:rsidRPr="0007061A" w:rsidRDefault="00F221E7" w:rsidP="0007061A">
      <w:pPr>
        <w:pStyle w:val="NoSpacing"/>
      </w:pPr>
    </w:p>
    <w:p w14:paraId="32B238FD" w14:textId="7A4104BE" w:rsidR="00F221E7" w:rsidRPr="0007061A" w:rsidRDefault="00F221E7" w:rsidP="0007061A">
      <w:pPr>
        <w:pStyle w:val="NoSpacing"/>
      </w:pPr>
    </w:p>
    <w:p w14:paraId="2B5FEE20" w14:textId="1A3F1A45" w:rsidR="00F221E7" w:rsidRDefault="00F221E7" w:rsidP="00F221E7"/>
    <w:p w14:paraId="01DF77FA" w14:textId="750A5A0E" w:rsidR="00F221E7" w:rsidRDefault="00F221E7" w:rsidP="00F221E7"/>
    <w:p w14:paraId="7F709F64" w14:textId="77777777" w:rsidR="0007061A" w:rsidRDefault="0007061A" w:rsidP="008B0BEC">
      <w:pPr>
        <w:pStyle w:val="Subtitle"/>
        <w:rPr>
          <w:b/>
          <w:bCs/>
        </w:rPr>
      </w:pPr>
    </w:p>
    <w:p w14:paraId="20B49CEB" w14:textId="77777777" w:rsidR="0007061A" w:rsidRDefault="0007061A" w:rsidP="008B0BEC">
      <w:pPr>
        <w:pStyle w:val="Subtitle"/>
        <w:rPr>
          <w:b/>
          <w:bCs/>
        </w:rPr>
      </w:pPr>
    </w:p>
    <w:p w14:paraId="7259A522" w14:textId="32271746" w:rsidR="008B0BEC" w:rsidRDefault="0007061A" w:rsidP="008B0BEC">
      <w:pPr>
        <w:pStyle w:val="Subtitle"/>
      </w:pPr>
      <w:r>
        <w:rPr>
          <w:b/>
          <w:bCs/>
        </w:rPr>
        <w:t xml:space="preserve">Salary </w:t>
      </w:r>
      <w:r w:rsidR="008B0BEC" w:rsidRPr="009D4E03">
        <w:rPr>
          <w:b/>
          <w:bCs/>
        </w:rPr>
        <w:t>Paid Holidays:</w:t>
      </w:r>
    </w:p>
    <w:p w14:paraId="68F5CB0A" w14:textId="77777777" w:rsidR="0007061A" w:rsidRDefault="008B0BEC" w:rsidP="0007061A">
      <w:pPr>
        <w:pStyle w:val="ListParagraph"/>
        <w:numPr>
          <w:ilvl w:val="0"/>
          <w:numId w:val="1"/>
        </w:numPr>
      </w:pPr>
      <w:r>
        <w:t xml:space="preserve">New Year’s Day </w:t>
      </w:r>
    </w:p>
    <w:p w14:paraId="5A5E0D2C" w14:textId="77777777" w:rsidR="0007061A" w:rsidRDefault="0007061A" w:rsidP="0007061A">
      <w:pPr>
        <w:pStyle w:val="ListParagraph"/>
        <w:numPr>
          <w:ilvl w:val="0"/>
          <w:numId w:val="1"/>
        </w:numPr>
      </w:pPr>
      <w:r>
        <w:t>Memorial Day</w:t>
      </w:r>
    </w:p>
    <w:p w14:paraId="0DCDE830" w14:textId="77777777" w:rsidR="0007061A" w:rsidRDefault="0007061A" w:rsidP="0007061A">
      <w:pPr>
        <w:pStyle w:val="ListParagraph"/>
        <w:numPr>
          <w:ilvl w:val="0"/>
          <w:numId w:val="1"/>
        </w:numPr>
      </w:pPr>
      <w:r>
        <w:t>4</w:t>
      </w:r>
      <w:r w:rsidRPr="0007061A">
        <w:rPr>
          <w:vertAlign w:val="superscript"/>
        </w:rPr>
        <w:t>th</w:t>
      </w:r>
      <w:r>
        <w:t xml:space="preserve"> of July</w:t>
      </w:r>
    </w:p>
    <w:p w14:paraId="30649656" w14:textId="699B81C2" w:rsidR="008B0BEC" w:rsidRDefault="008B0BEC" w:rsidP="0007061A">
      <w:pPr>
        <w:pStyle w:val="ListParagraph"/>
        <w:numPr>
          <w:ilvl w:val="0"/>
          <w:numId w:val="1"/>
        </w:numPr>
      </w:pPr>
      <w:r>
        <w:t>Labor Day</w:t>
      </w:r>
    </w:p>
    <w:p w14:paraId="1DE81D69" w14:textId="77777777" w:rsidR="008B0BEC" w:rsidRDefault="008B0BEC" w:rsidP="008B0BEC">
      <w:pPr>
        <w:pStyle w:val="ListParagraph"/>
        <w:numPr>
          <w:ilvl w:val="0"/>
          <w:numId w:val="1"/>
        </w:numPr>
      </w:pPr>
      <w:r>
        <w:t xml:space="preserve">Thanksgiving Day </w:t>
      </w:r>
    </w:p>
    <w:p w14:paraId="023B12F2" w14:textId="40640BF7" w:rsidR="00F221E7" w:rsidRDefault="008B0BEC" w:rsidP="00F221E7">
      <w:pPr>
        <w:pStyle w:val="ListParagraph"/>
        <w:numPr>
          <w:ilvl w:val="0"/>
          <w:numId w:val="1"/>
        </w:numPr>
      </w:pPr>
      <w:r>
        <w:t>Christmas Day</w:t>
      </w:r>
    </w:p>
    <w:p w14:paraId="6D676E70" w14:textId="7FEDD2CC" w:rsidR="007363D4" w:rsidRDefault="007363D4" w:rsidP="007363D4">
      <w:pPr>
        <w:pStyle w:val="Title"/>
        <w:jc w:val="center"/>
        <w:rPr>
          <w:b/>
          <w:bCs/>
          <w:u w:val="single"/>
        </w:rPr>
      </w:pPr>
      <w:r w:rsidRPr="007363D4">
        <w:rPr>
          <w:b/>
          <w:bCs/>
          <w:u w:val="single"/>
        </w:rPr>
        <w:lastRenderedPageBreak/>
        <w:t>Time Off and Leaves of Absence</w:t>
      </w:r>
    </w:p>
    <w:p w14:paraId="28E7D6C5" w14:textId="77777777" w:rsidR="002F48AD" w:rsidRDefault="002F48AD" w:rsidP="002F48AD"/>
    <w:p w14:paraId="46FB6C7A" w14:textId="503C0064" w:rsidR="007363D4" w:rsidRPr="002F48AD" w:rsidRDefault="007363D4" w:rsidP="002F48AD">
      <w:pPr>
        <w:rPr>
          <w:rFonts w:cstheme="minorHAnsi"/>
          <w:sz w:val="24"/>
          <w:szCs w:val="24"/>
        </w:rPr>
      </w:pPr>
      <w:r w:rsidRPr="002F48AD">
        <w:rPr>
          <w:rFonts w:cstheme="minorHAnsi"/>
          <w:sz w:val="24"/>
          <w:szCs w:val="24"/>
        </w:rPr>
        <w:t xml:space="preserve">ARIZONA FASTENERS recognizes the importance of time off from work to relax, spend time with family, and enjoy leisure activities. The company grants paid time away from work under its annual Paid Time Off (PTO) policy. An employee may use this leave for any purpose he or she wishes, including vacations, illness or time away from work for personal or family matters. Absences should be scheduled in advance with supervisory approval. Unscheduled absences are strongly discouraged, except in emergency situations. </w:t>
      </w:r>
    </w:p>
    <w:p w14:paraId="7200BB3A" w14:textId="3794F0FF" w:rsidR="007363D4" w:rsidRPr="002F48AD" w:rsidRDefault="007363D4" w:rsidP="007363D4">
      <w:pPr>
        <w:pStyle w:val="ListParagraph"/>
        <w:numPr>
          <w:ilvl w:val="0"/>
          <w:numId w:val="2"/>
        </w:numPr>
        <w:rPr>
          <w:rFonts w:cstheme="minorHAnsi"/>
          <w:sz w:val="24"/>
          <w:szCs w:val="24"/>
        </w:rPr>
      </w:pPr>
      <w:r w:rsidRPr="002F48AD">
        <w:rPr>
          <w:rFonts w:cstheme="minorHAnsi"/>
          <w:b/>
          <w:bCs/>
          <w:sz w:val="24"/>
          <w:szCs w:val="24"/>
        </w:rPr>
        <w:t>Eligibility:</w:t>
      </w:r>
      <w:r w:rsidRPr="002F48AD">
        <w:rPr>
          <w:rFonts w:cstheme="minorHAnsi"/>
          <w:sz w:val="24"/>
          <w:szCs w:val="24"/>
        </w:rPr>
        <w:t xml:space="preserve"> Staff with less than 90 days of service with the Company </w:t>
      </w:r>
      <w:r w:rsidRPr="002F48AD">
        <w:rPr>
          <w:rFonts w:cstheme="minorHAnsi"/>
          <w:sz w:val="24"/>
          <w:szCs w:val="24"/>
          <w:u w:val="single"/>
        </w:rPr>
        <w:t>may not take time away from work except under special circumstances and with supervisory approval.</w:t>
      </w:r>
      <w:r w:rsidRPr="002F48AD">
        <w:rPr>
          <w:rFonts w:cstheme="minorHAnsi"/>
          <w:sz w:val="24"/>
          <w:szCs w:val="24"/>
        </w:rPr>
        <w:t xml:space="preserve"> Full time employees and part-time employees who are regularly scheduled to work 20 or more hours per week will be eligible for paid time off on a pro rata schedule. </w:t>
      </w:r>
    </w:p>
    <w:p w14:paraId="67EE3B4E" w14:textId="77777777" w:rsidR="007363D4" w:rsidRPr="002F48AD" w:rsidRDefault="007363D4" w:rsidP="007363D4">
      <w:pPr>
        <w:pStyle w:val="ListParagraph"/>
        <w:ind w:left="1080"/>
        <w:rPr>
          <w:rFonts w:cstheme="minorHAnsi"/>
          <w:sz w:val="24"/>
          <w:szCs w:val="24"/>
        </w:rPr>
      </w:pPr>
    </w:p>
    <w:p w14:paraId="7C8D1FE4" w14:textId="77777777" w:rsidR="002F48AD" w:rsidRPr="002F48AD" w:rsidRDefault="007363D4" w:rsidP="002F48AD">
      <w:pPr>
        <w:pStyle w:val="ListParagraph"/>
        <w:numPr>
          <w:ilvl w:val="0"/>
          <w:numId w:val="2"/>
        </w:numPr>
        <w:rPr>
          <w:rFonts w:cstheme="minorHAnsi"/>
          <w:sz w:val="24"/>
          <w:szCs w:val="24"/>
        </w:rPr>
      </w:pPr>
      <w:r w:rsidRPr="002F48AD">
        <w:rPr>
          <w:rFonts w:cstheme="minorHAnsi"/>
          <w:b/>
          <w:bCs/>
          <w:sz w:val="24"/>
          <w:szCs w:val="24"/>
        </w:rPr>
        <w:t>Usage:</w:t>
      </w:r>
      <w:r w:rsidRPr="002F48AD">
        <w:rPr>
          <w:rFonts w:cstheme="minorHAnsi"/>
          <w:sz w:val="24"/>
          <w:szCs w:val="24"/>
        </w:rPr>
        <w:t xml:space="preserve"> Employees may not take PTO until they actually have earned or accrued the time. New employees accrue PTO at the start of employment but may not take any vacation until they have </w:t>
      </w:r>
      <w:r w:rsidRPr="002F48AD">
        <w:rPr>
          <w:rFonts w:cstheme="minorHAnsi"/>
          <w:sz w:val="24"/>
          <w:szCs w:val="24"/>
          <w:u w:val="single"/>
        </w:rPr>
        <w:t>completed at least 90 days of employment</w:t>
      </w:r>
      <w:r w:rsidRPr="002F48AD">
        <w:rPr>
          <w:rFonts w:cstheme="minorHAnsi"/>
          <w:sz w:val="24"/>
          <w:szCs w:val="24"/>
        </w:rPr>
        <w:t xml:space="preserve">. Generally, employees should submit PTO plans to their supervisor at least 2 weeks in advance of the requested date(s). PTO may be </w:t>
      </w:r>
      <w:r w:rsidRPr="002F48AD">
        <w:rPr>
          <w:rFonts w:cstheme="minorHAnsi"/>
          <w:sz w:val="24"/>
          <w:szCs w:val="24"/>
          <w:u w:val="single"/>
        </w:rPr>
        <w:t>used in 1-hour increments but PTO for a working day will not exceed 8 hours</w:t>
      </w:r>
      <w:r w:rsidRPr="002F48AD">
        <w:rPr>
          <w:rFonts w:cstheme="minorHAnsi"/>
          <w:sz w:val="24"/>
          <w:szCs w:val="24"/>
        </w:rPr>
        <w:t xml:space="preserve">. PTO may be taken for a variety of uses, including but not limited to </w:t>
      </w:r>
      <w:r w:rsidRPr="002F48AD">
        <w:rPr>
          <w:rFonts w:cstheme="minorHAnsi"/>
          <w:sz w:val="24"/>
          <w:szCs w:val="24"/>
          <w:u w:val="single"/>
        </w:rPr>
        <w:t>vacation, illness, bereavement, personal days, and medical emergencies</w:t>
      </w:r>
      <w:r w:rsidRPr="002F48AD">
        <w:rPr>
          <w:rFonts w:cstheme="minorHAnsi"/>
          <w:sz w:val="24"/>
          <w:szCs w:val="24"/>
        </w:rPr>
        <w:t xml:space="preserve">. Managers have the right to designate when some or all of PTO can be taken. PTO should be used in the year it is earned. </w:t>
      </w:r>
      <w:r w:rsidRPr="002F48AD">
        <w:rPr>
          <w:rFonts w:cstheme="minorHAnsi"/>
          <w:sz w:val="24"/>
          <w:szCs w:val="24"/>
          <w:u w:val="single"/>
        </w:rPr>
        <w:t>Full and Part time employees will be permitted to carry-over up to 5 days of accrued vacation to the following calendar year</w:t>
      </w:r>
      <w:r w:rsidRPr="002F48AD">
        <w:rPr>
          <w:rFonts w:cstheme="minorHAnsi"/>
          <w:sz w:val="24"/>
          <w:szCs w:val="24"/>
        </w:rPr>
        <w:t xml:space="preserve">. Employees whose employment terminates will be paid for </w:t>
      </w:r>
      <w:r w:rsidRPr="002F48AD">
        <w:rPr>
          <w:rFonts w:cstheme="minorHAnsi"/>
          <w:sz w:val="24"/>
          <w:szCs w:val="24"/>
          <w:u w:val="single"/>
        </w:rPr>
        <w:t>unused PTO over and above 40 hours</w:t>
      </w:r>
      <w:r w:rsidRPr="002F48AD">
        <w:rPr>
          <w:rFonts w:cstheme="minorHAnsi"/>
          <w:sz w:val="24"/>
          <w:szCs w:val="24"/>
        </w:rPr>
        <w:t xml:space="preserve"> providing it is a voluntary resignation and the employee has provided a 2 week notice and successfully completes those 2 weeks. If an employee has a deficit in his or her annual paid time off bank at the time of resignation or termination, or has other balances and/or unreturned equipment belonging to the company, these balances and salary equal to </w:t>
      </w:r>
      <w:r w:rsidRPr="002F48AD">
        <w:rPr>
          <w:rFonts w:cstheme="minorHAnsi"/>
          <w:sz w:val="24"/>
          <w:szCs w:val="24"/>
          <w:u w:val="single"/>
        </w:rPr>
        <w:t>the deficit may be deducted from the employee’s final paycheck</w:t>
      </w:r>
      <w:r w:rsidRPr="002F48AD">
        <w:rPr>
          <w:rFonts w:cstheme="minorHAnsi"/>
          <w:sz w:val="24"/>
          <w:szCs w:val="24"/>
        </w:rPr>
        <w:t>.</w:t>
      </w:r>
    </w:p>
    <w:p w14:paraId="2E83222A" w14:textId="7F2BD94B" w:rsidR="007363D4" w:rsidRPr="002F48AD" w:rsidRDefault="002F48AD" w:rsidP="002F48AD">
      <w:pPr>
        <w:pStyle w:val="Heading1"/>
        <w:rPr>
          <w:rFonts w:asciiTheme="minorHAnsi" w:hAnsiTheme="minorHAnsi" w:cstheme="minorHAnsi"/>
          <w:sz w:val="24"/>
          <w:szCs w:val="24"/>
        </w:rPr>
      </w:pPr>
      <w:r w:rsidRPr="002F48AD">
        <w:rPr>
          <w:rFonts w:asciiTheme="minorHAnsi" w:hAnsiTheme="minorHAnsi" w:cstheme="minorHAnsi"/>
          <w:sz w:val="24"/>
          <w:szCs w:val="24"/>
        </w:rPr>
        <w:t>Holidays</w:t>
      </w:r>
      <w:r w:rsidR="007363D4" w:rsidRPr="002F48AD">
        <w:rPr>
          <w:rFonts w:asciiTheme="minorHAnsi" w:hAnsiTheme="minorHAnsi" w:cstheme="minorHAnsi"/>
          <w:sz w:val="24"/>
          <w:szCs w:val="24"/>
        </w:rPr>
        <w:t xml:space="preserve"> </w:t>
      </w:r>
    </w:p>
    <w:p w14:paraId="592BD4A0" w14:textId="1B61E3F7" w:rsidR="007363D4" w:rsidRPr="002F48AD" w:rsidRDefault="007363D4" w:rsidP="002F48AD">
      <w:pPr>
        <w:ind w:left="360"/>
        <w:rPr>
          <w:rFonts w:cstheme="minorHAnsi"/>
          <w:sz w:val="24"/>
          <w:szCs w:val="24"/>
        </w:rPr>
      </w:pPr>
      <w:r w:rsidRPr="002F48AD">
        <w:rPr>
          <w:rFonts w:cstheme="minorHAnsi"/>
          <w:sz w:val="24"/>
          <w:szCs w:val="24"/>
        </w:rPr>
        <w:t xml:space="preserve">If one of these holidays falls on a Sunday, the company may choose to close on the following Monday. If the holiday falls on a Saturday, the company will select either the following Monday or the preceding Friday as a substitute holiday. </w:t>
      </w:r>
    </w:p>
    <w:sectPr w:rsidR="007363D4" w:rsidRPr="002F4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00A85"/>
    <w:multiLevelType w:val="hybridMultilevel"/>
    <w:tmpl w:val="84A6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D1546"/>
    <w:multiLevelType w:val="hybridMultilevel"/>
    <w:tmpl w:val="90F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34483"/>
    <w:multiLevelType w:val="hybridMultilevel"/>
    <w:tmpl w:val="548CD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FC"/>
    <w:rsid w:val="0007061A"/>
    <w:rsid w:val="00112E5B"/>
    <w:rsid w:val="001A02FC"/>
    <w:rsid w:val="002F48AD"/>
    <w:rsid w:val="00513A7B"/>
    <w:rsid w:val="007363D4"/>
    <w:rsid w:val="008057DB"/>
    <w:rsid w:val="008B0BEC"/>
    <w:rsid w:val="009D4E03"/>
    <w:rsid w:val="00F2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5DF4"/>
  <w15:chartTrackingRefBased/>
  <w15:docId w15:val="{83C391BD-31DE-4074-B95A-E8FF7493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E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02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02F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02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A02FC"/>
    <w:pPr>
      <w:spacing w:after="0" w:line="240" w:lineRule="auto"/>
    </w:pPr>
  </w:style>
  <w:style w:type="table" w:styleId="TableGrid">
    <w:name w:val="Table Grid"/>
    <w:basedOn w:val="TableNormal"/>
    <w:uiPriority w:val="39"/>
    <w:rsid w:val="001A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A02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02FC"/>
    <w:rPr>
      <w:rFonts w:eastAsiaTheme="minorEastAsia"/>
      <w:color w:val="5A5A5A" w:themeColor="text1" w:themeTint="A5"/>
      <w:spacing w:val="15"/>
    </w:rPr>
  </w:style>
  <w:style w:type="paragraph" w:styleId="ListParagraph">
    <w:name w:val="List Paragraph"/>
    <w:basedOn w:val="Normal"/>
    <w:uiPriority w:val="34"/>
    <w:qFormat/>
    <w:rsid w:val="001A02FC"/>
    <w:pPr>
      <w:ind w:left="720"/>
      <w:contextualSpacing/>
    </w:pPr>
  </w:style>
  <w:style w:type="character" w:customStyle="1" w:styleId="Heading2Char">
    <w:name w:val="Heading 2 Char"/>
    <w:basedOn w:val="DefaultParagraphFont"/>
    <w:link w:val="Heading2"/>
    <w:uiPriority w:val="9"/>
    <w:rsid w:val="009D4E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Jainireth Zamudio</dc:creator>
  <cp:keywords/>
  <dc:description/>
  <cp:lastModifiedBy>Andrew Yenney</cp:lastModifiedBy>
  <cp:revision>2</cp:revision>
  <dcterms:created xsi:type="dcterms:W3CDTF">2022-01-05T17:37:00Z</dcterms:created>
  <dcterms:modified xsi:type="dcterms:W3CDTF">2022-01-05T17:37:00Z</dcterms:modified>
</cp:coreProperties>
</file>